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F9" w:rsidRDefault="006C2CF9" w:rsidP="006C2CF9">
      <w:pPr>
        <w:spacing w:before="100" w:beforeAutospacing="1" w:after="100" w:afterAutospacing="1"/>
        <w:ind w:left="-284"/>
        <w:jc w:val="center"/>
        <w:rPr>
          <w:rFonts w:ascii="Bookman Old Style" w:hAnsi="Bookman Old Style" w:cs="Arial"/>
          <w:b/>
          <w:color w:val="215868" w:themeColor="accent5" w:themeShade="80"/>
          <w:sz w:val="28"/>
          <w:u w:val="thick"/>
        </w:rPr>
      </w:pPr>
      <w:r>
        <w:rPr>
          <w:noProof/>
        </w:rPr>
        <w:drawing>
          <wp:inline distT="0" distB="0" distL="0" distR="0">
            <wp:extent cx="6124575" cy="1047750"/>
            <wp:effectExtent l="19050" t="0" r="9525" b="0"/>
            <wp:docPr id="1" name="Рисунок 1" descr="http://spikoll.ru/wp-content/themes/snow-summit/images/headers/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koll.ru/wp-content/themes/snow-summit/images/headers/header-2.jpg"/>
                    <pic:cNvPicPr>
                      <a:picLocks noChangeAspect="1" noChangeArrowheads="1"/>
                    </pic:cNvPicPr>
                  </pic:nvPicPr>
                  <pic:blipFill>
                    <a:blip r:embed="rId5" cstate="print"/>
                    <a:srcRect/>
                    <a:stretch>
                      <a:fillRect/>
                    </a:stretch>
                  </pic:blipFill>
                  <pic:spPr bwMode="auto">
                    <a:xfrm>
                      <a:off x="0" y="0"/>
                      <a:ext cx="6142505" cy="1050817"/>
                    </a:xfrm>
                    <a:prstGeom prst="rect">
                      <a:avLst/>
                    </a:prstGeom>
                    <a:noFill/>
                    <a:ln w="9525">
                      <a:noFill/>
                      <a:miter lim="800000"/>
                      <a:headEnd/>
                      <a:tailEnd/>
                    </a:ln>
                  </pic:spPr>
                </pic:pic>
              </a:graphicData>
            </a:graphic>
          </wp:inline>
        </w:drawing>
      </w:r>
    </w:p>
    <w:p w:rsidR="006C2CF9" w:rsidRPr="006C2CF9" w:rsidRDefault="006C2CF9" w:rsidP="006C2CF9">
      <w:pPr>
        <w:spacing w:before="100" w:beforeAutospacing="1" w:after="100" w:afterAutospacing="1"/>
        <w:ind w:left="-284"/>
        <w:jc w:val="center"/>
        <w:rPr>
          <w:rFonts w:ascii="Bookman Old Style" w:hAnsi="Bookman Old Style" w:cs="Arial"/>
          <w:b/>
          <w:color w:val="215868" w:themeColor="accent5" w:themeShade="80"/>
          <w:sz w:val="28"/>
          <w:u w:val="thick"/>
        </w:rPr>
      </w:pPr>
      <w:r w:rsidRPr="006C2CF9">
        <w:rPr>
          <w:rFonts w:ascii="Bookman Old Style" w:hAnsi="Bookman Old Style" w:cs="Arial"/>
          <w:b/>
          <w:color w:val="215868" w:themeColor="accent5" w:themeShade="80"/>
          <w:sz w:val="28"/>
          <w:u w:val="thick"/>
        </w:rPr>
        <w:t>РОДИТЕЛЯМ О ПОДРОСТКАХ</w:t>
      </w:r>
    </w:p>
    <w:p w:rsidR="008B141F" w:rsidRPr="006C2CF9" w:rsidRDefault="008B141F" w:rsidP="008B141F">
      <w:pPr>
        <w:spacing w:before="100" w:beforeAutospacing="1" w:after="100" w:afterAutospacing="1"/>
        <w:ind w:firstLine="708"/>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 xml:space="preserve">Актуальной является проблема регуляции поведения </w:t>
      </w:r>
      <w:r w:rsidR="006C2CF9" w:rsidRPr="006C2CF9">
        <w:rPr>
          <w:rFonts w:ascii="Bookman Old Style" w:hAnsi="Bookman Old Style" w:cs="Arial"/>
          <w:color w:val="0F243E" w:themeColor="text2" w:themeShade="80"/>
        </w:rPr>
        <w:t>детей,</w:t>
      </w:r>
      <w:r w:rsidRPr="006C2CF9">
        <w:rPr>
          <w:rFonts w:ascii="Bookman Old Style" w:hAnsi="Bookman Old Style" w:cs="Arial"/>
          <w:color w:val="0F243E" w:themeColor="text2" w:themeShade="80"/>
        </w:rPr>
        <w:t xml:space="preserve"> как на уроках, так и в свободное время. Эмоциональная импульсивность, конфликтность, грубость обращения друг к другу, чрезмерная обидчивость и раздражительность детей мешают продуктивной обучающей деятельности педагога на уроках. Чтобы ребёнок мог сознательно регулировать поведение, нужно научить его адекватно выражать чувства, находить конструктивные способы выхода из сложных ситуаций. Если не сделать этого, </w:t>
      </w:r>
      <w:proofErr w:type="spellStart"/>
      <w:r w:rsidRPr="006C2CF9">
        <w:rPr>
          <w:rFonts w:ascii="Bookman Old Style" w:hAnsi="Bookman Old Style" w:cs="Arial"/>
          <w:color w:val="0F243E" w:themeColor="text2" w:themeShade="80"/>
        </w:rPr>
        <w:t>неотреагированные</w:t>
      </w:r>
      <w:proofErr w:type="spellEnd"/>
      <w:r w:rsidRPr="006C2CF9">
        <w:rPr>
          <w:rFonts w:ascii="Bookman Old Style" w:hAnsi="Bookman Old Style" w:cs="Arial"/>
          <w:color w:val="0F243E" w:themeColor="text2" w:themeShade="80"/>
        </w:rPr>
        <w:t xml:space="preserve"> чувства будут долго определять жизнь ребёнка, создавая всё новые субъективные трудности.</w:t>
      </w:r>
    </w:p>
    <w:p w:rsidR="008B141F" w:rsidRPr="006C2CF9" w:rsidRDefault="008B141F" w:rsidP="006C2CF9">
      <w:pPr>
        <w:spacing w:before="100" w:beforeAutospacing="1" w:after="100" w:afterAutospacing="1"/>
        <w:ind w:firstLine="708"/>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Средний подростковый возраст соотносится по времени с обучением ребят в 7, 8 классах школы.</w:t>
      </w:r>
    </w:p>
    <w:p w:rsidR="006C2CF9" w:rsidRPr="006C2CF9" w:rsidRDefault="008B141F" w:rsidP="006C2CF9">
      <w:pPr>
        <w:spacing w:before="100" w:beforeAutospacing="1" w:after="100" w:afterAutospacing="1"/>
        <w:ind w:firstLine="708"/>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 xml:space="preserve">Это тот период развития, который знаменует собой переход школьника от "детскости" к "взрослости". Именно он является "критическим" в онтогенезе. Здесь имеет место ряд противоречивых тенденций. </w:t>
      </w:r>
    </w:p>
    <w:p w:rsidR="008B141F" w:rsidRPr="006C2CF9" w:rsidRDefault="008B141F" w:rsidP="006C2CF9">
      <w:pPr>
        <w:spacing w:before="100" w:beforeAutospacing="1" w:after="100" w:afterAutospacing="1"/>
        <w:ind w:firstLine="708"/>
        <w:jc w:val="both"/>
        <w:rPr>
          <w:rFonts w:ascii="Bookman Old Style" w:hAnsi="Bookman Old Style" w:cs="Arial"/>
          <w:color w:val="0F243E" w:themeColor="text2" w:themeShade="80"/>
        </w:rPr>
      </w:pPr>
      <w:r w:rsidRPr="006C2CF9">
        <w:rPr>
          <w:rFonts w:ascii="Bookman Old Style" w:hAnsi="Bookman Old Style" w:cs="Arial"/>
          <w:b/>
          <w:color w:val="0F243E" w:themeColor="text2" w:themeShade="80"/>
        </w:rPr>
        <w:t>Во-первых</w:t>
      </w:r>
      <w:r w:rsidR="006C2CF9">
        <w:rPr>
          <w:rFonts w:ascii="Bookman Old Style" w:hAnsi="Bookman Old Style" w:cs="Arial"/>
          <w:color w:val="0F243E" w:themeColor="text2" w:themeShade="80"/>
        </w:rPr>
        <w:t>,</w:t>
      </w:r>
      <w:r w:rsidRPr="006C2CF9">
        <w:rPr>
          <w:rFonts w:ascii="Bookman Old Style" w:hAnsi="Bookman Old Style" w:cs="Arial"/>
          <w:color w:val="0F243E" w:themeColor="text2" w:themeShade="80"/>
        </w:rPr>
        <w:t xml:space="preserve"> переориентация во взаимодействии взрослых на сверстников. Именно в этой среде подросток ищет признания и испытывает острую потребность в принятии и уважении. Принадлежность к подростковому сообществу определяет в целом, уровень самоуважения. При неудовлетворённости данной потребности, самоутверждение может выражаться в </w:t>
      </w:r>
      <w:proofErr w:type="spellStart"/>
      <w:r w:rsidRPr="006C2CF9">
        <w:rPr>
          <w:rFonts w:ascii="Bookman Old Style" w:hAnsi="Bookman Old Style" w:cs="Arial"/>
          <w:color w:val="0F243E" w:themeColor="text2" w:themeShade="80"/>
        </w:rPr>
        <w:t>девиантном</w:t>
      </w:r>
      <w:proofErr w:type="spellEnd"/>
      <w:r w:rsidRPr="006C2CF9">
        <w:rPr>
          <w:rFonts w:ascii="Bookman Old Style" w:hAnsi="Bookman Old Style" w:cs="Arial"/>
          <w:color w:val="0F243E" w:themeColor="text2" w:themeShade="80"/>
        </w:rPr>
        <w:t xml:space="preserve"> поведении, а в крайнем варианте влечёт уход подростка в асоциальные компании.</w:t>
      </w:r>
    </w:p>
    <w:p w:rsidR="008B141F" w:rsidRPr="006C2CF9" w:rsidRDefault="008B141F" w:rsidP="006C2CF9">
      <w:pPr>
        <w:spacing w:before="100" w:beforeAutospacing="1" w:after="100" w:afterAutospacing="1"/>
        <w:ind w:firstLine="708"/>
        <w:jc w:val="both"/>
        <w:rPr>
          <w:rFonts w:ascii="Bookman Old Style" w:hAnsi="Bookman Old Style" w:cs="Arial"/>
          <w:color w:val="0F243E" w:themeColor="text2" w:themeShade="80"/>
        </w:rPr>
      </w:pPr>
      <w:r w:rsidRPr="006C2CF9">
        <w:rPr>
          <w:rFonts w:ascii="Bookman Old Style" w:hAnsi="Bookman Old Style" w:cs="Arial"/>
          <w:b/>
          <w:color w:val="0F243E" w:themeColor="text2" w:themeShade="80"/>
        </w:rPr>
        <w:t>Во-вторых</w:t>
      </w:r>
      <w:r w:rsidRPr="006C2CF9">
        <w:rPr>
          <w:rFonts w:ascii="Bookman Old Style" w:hAnsi="Bookman Old Style" w:cs="Arial"/>
          <w:color w:val="0F243E" w:themeColor="text2" w:themeShade="80"/>
        </w:rPr>
        <w:t>, стремление к автономии, потребность заявить о себе формирует завышенный уровень притязаний при недостаточных возможностях (коммуникативных, личностных). Это ведёт к внутреннему конфликту и может стать причиной снижения самооценки (самоуважения), закреплению комплекса "неполноценности", "вины".</w:t>
      </w:r>
    </w:p>
    <w:p w:rsidR="008B141F" w:rsidRPr="006C2CF9" w:rsidRDefault="008B141F" w:rsidP="006C2CF9">
      <w:pPr>
        <w:spacing w:before="100" w:beforeAutospacing="1" w:after="100" w:afterAutospacing="1"/>
        <w:ind w:firstLine="708"/>
        <w:jc w:val="both"/>
        <w:rPr>
          <w:rFonts w:ascii="Bookman Old Style" w:hAnsi="Bookman Old Style" w:cs="Arial"/>
          <w:color w:val="0F243E" w:themeColor="text2" w:themeShade="80"/>
        </w:rPr>
      </w:pPr>
      <w:r w:rsidRPr="006C2CF9">
        <w:rPr>
          <w:rFonts w:ascii="Bookman Old Style" w:hAnsi="Bookman Old Style" w:cs="Arial"/>
          <w:b/>
          <w:color w:val="0F243E" w:themeColor="text2" w:themeShade="80"/>
        </w:rPr>
        <w:t>В-третьих</w:t>
      </w:r>
      <w:r w:rsidRPr="006C2CF9">
        <w:rPr>
          <w:rFonts w:ascii="Bookman Old Style" w:hAnsi="Bookman Old Style" w:cs="Arial"/>
          <w:color w:val="0F243E" w:themeColor="text2" w:themeShade="80"/>
        </w:rPr>
        <w:t>, незрелость в личном плане заключается в оценивании человека по внешности. Отсюда стремление к "ярко выраженному" подростковому стилю в одежде, манере поведения. Противоречивость заключается в стремлении выделиться, а с другой стороны в жестоком конформизме, свойственном молодёжной субкультуре. Кроме этого увлечённость внешней "атрибутикой" затеняет внутреннюю сущность, а в ней как раз и кроется резерв развития.</w:t>
      </w:r>
    </w:p>
    <w:p w:rsidR="008B141F" w:rsidRPr="006C2CF9" w:rsidRDefault="008B141F" w:rsidP="006C2CF9">
      <w:pPr>
        <w:spacing w:before="100" w:beforeAutospacing="1" w:after="100" w:afterAutospacing="1"/>
        <w:ind w:firstLine="708"/>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Но, несмотря на проблематику возраста, есть один важный и существенный момент. Он заключается в том, что любой подросток испытывает потребность в помощи "значимого взрослого" из-за того же самого желания стать взрослым!..</w:t>
      </w:r>
    </w:p>
    <w:p w:rsidR="008B141F" w:rsidRPr="006C2CF9" w:rsidRDefault="008B141F" w:rsidP="006C2CF9">
      <w:pPr>
        <w:spacing w:before="100" w:beforeAutospacing="1" w:after="100" w:afterAutospacing="1"/>
        <w:ind w:firstLine="708"/>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Попытаемся же найти причины появления различных проблем в поведении учащихся. Четыре основные причины нарушения в поведении.</w:t>
      </w:r>
    </w:p>
    <w:p w:rsidR="008B141F" w:rsidRPr="006C2CF9" w:rsidRDefault="008B141F" w:rsidP="008B141F">
      <w:pPr>
        <w:spacing w:before="100" w:beforeAutospacing="1" w:after="100" w:afterAutospacing="1"/>
        <w:jc w:val="both"/>
        <w:rPr>
          <w:rFonts w:ascii="Bookman Old Style" w:hAnsi="Bookman Old Style" w:cs="Arial"/>
          <w:color w:val="0F243E" w:themeColor="text2" w:themeShade="80"/>
        </w:rPr>
      </w:pPr>
      <w:r w:rsidRPr="006C2CF9">
        <w:rPr>
          <w:rFonts w:ascii="Bookman Old Style" w:hAnsi="Bookman Old Style" w:cs="Arial"/>
          <w:b/>
          <w:bCs/>
          <w:color w:val="0F243E" w:themeColor="text2" w:themeShade="80"/>
        </w:rPr>
        <w:lastRenderedPageBreak/>
        <w:t>Причина первая</w:t>
      </w:r>
      <w:r w:rsidRPr="006C2CF9">
        <w:rPr>
          <w:rFonts w:ascii="Bookman Old Style" w:hAnsi="Bookman Old Style" w:cs="Arial"/>
          <w:color w:val="0F243E" w:themeColor="text2" w:themeShade="80"/>
        </w:rPr>
        <w:t> - </w:t>
      </w:r>
      <w:r w:rsidRPr="006C2CF9">
        <w:rPr>
          <w:rFonts w:ascii="Bookman Old Style" w:hAnsi="Bookman Old Style" w:cs="Arial"/>
          <w:b/>
          <w:bCs/>
          <w:color w:val="0F243E" w:themeColor="text2" w:themeShade="80"/>
        </w:rPr>
        <w:t>борьба за внимание</w:t>
      </w:r>
      <w:r w:rsidRPr="006C2CF9">
        <w:rPr>
          <w:rFonts w:ascii="Bookman Old Style" w:hAnsi="Bookman Old Style" w:cs="Arial"/>
          <w:color w:val="0F243E" w:themeColor="text2" w:themeShade="80"/>
        </w:rPr>
        <w:t>. Непослушание - это тоже возможность привлечь к себе внимание. Внимание ребёнку необходимо для его эмоционального благополучия.</w:t>
      </w:r>
    </w:p>
    <w:p w:rsidR="008B141F" w:rsidRPr="006C2CF9" w:rsidRDefault="008B141F" w:rsidP="008B141F">
      <w:pPr>
        <w:spacing w:before="100" w:beforeAutospacing="1" w:after="100" w:afterAutospacing="1"/>
        <w:jc w:val="both"/>
        <w:rPr>
          <w:rFonts w:ascii="Bookman Old Style" w:hAnsi="Bookman Old Style" w:cs="Arial"/>
          <w:color w:val="0F243E" w:themeColor="text2" w:themeShade="80"/>
        </w:rPr>
      </w:pPr>
      <w:r w:rsidRPr="006C2CF9">
        <w:rPr>
          <w:rFonts w:ascii="Bookman Old Style" w:hAnsi="Bookman Old Style" w:cs="Arial"/>
          <w:b/>
          <w:bCs/>
          <w:color w:val="0F243E" w:themeColor="text2" w:themeShade="80"/>
        </w:rPr>
        <w:t>Причина вторая</w:t>
      </w:r>
      <w:r w:rsidRPr="006C2CF9">
        <w:rPr>
          <w:rFonts w:ascii="Bookman Old Style" w:hAnsi="Bookman Old Style" w:cs="Arial"/>
          <w:color w:val="0F243E" w:themeColor="text2" w:themeShade="80"/>
        </w:rPr>
        <w:t> - </w:t>
      </w:r>
      <w:r w:rsidRPr="006C2CF9">
        <w:rPr>
          <w:rFonts w:ascii="Bookman Old Style" w:hAnsi="Bookman Old Style" w:cs="Arial"/>
          <w:b/>
          <w:bCs/>
          <w:color w:val="0F243E" w:themeColor="text2" w:themeShade="80"/>
        </w:rPr>
        <w:t>борьба за самоутверждение</w:t>
      </w:r>
      <w:r w:rsidRPr="006C2CF9">
        <w:rPr>
          <w:rFonts w:ascii="Bookman Old Style" w:hAnsi="Bookman Old Style" w:cs="Arial"/>
          <w:color w:val="0F243E" w:themeColor="text2" w:themeShade="80"/>
        </w:rPr>
        <w:t>. Ребёнок объявляет войну бесконечным указаниям, замечаниям и опасениям. Возможность иметь своё мнение, принимать собственное решение - это возможность приобретать свой опыт, пусть даже ошибочный.</w:t>
      </w:r>
    </w:p>
    <w:p w:rsidR="008B141F" w:rsidRPr="006C2CF9" w:rsidRDefault="008B141F" w:rsidP="008B141F">
      <w:pPr>
        <w:spacing w:before="100" w:beforeAutospacing="1" w:after="100" w:afterAutospacing="1"/>
        <w:jc w:val="both"/>
        <w:rPr>
          <w:rFonts w:ascii="Bookman Old Style" w:hAnsi="Bookman Old Style" w:cs="Arial"/>
          <w:color w:val="0F243E" w:themeColor="text2" w:themeShade="80"/>
        </w:rPr>
      </w:pPr>
      <w:r w:rsidRPr="006C2CF9">
        <w:rPr>
          <w:rFonts w:ascii="Bookman Old Style" w:hAnsi="Bookman Old Style" w:cs="Arial"/>
          <w:b/>
          <w:bCs/>
          <w:color w:val="0F243E" w:themeColor="text2" w:themeShade="80"/>
        </w:rPr>
        <w:t>Причина третья</w:t>
      </w:r>
      <w:r w:rsidRPr="006C2CF9">
        <w:rPr>
          <w:rFonts w:ascii="Bookman Old Style" w:hAnsi="Bookman Old Style" w:cs="Arial"/>
          <w:color w:val="0F243E" w:themeColor="text2" w:themeShade="80"/>
        </w:rPr>
        <w:t> - </w:t>
      </w:r>
      <w:r w:rsidRPr="006C2CF9">
        <w:rPr>
          <w:rFonts w:ascii="Bookman Old Style" w:hAnsi="Bookman Old Style" w:cs="Arial"/>
          <w:b/>
          <w:bCs/>
          <w:color w:val="0F243E" w:themeColor="text2" w:themeShade="80"/>
        </w:rPr>
        <w:t>желание мщения</w:t>
      </w:r>
      <w:r w:rsidRPr="006C2CF9">
        <w:rPr>
          <w:rFonts w:ascii="Bookman Old Style" w:hAnsi="Bookman Old Style" w:cs="Arial"/>
          <w:color w:val="0F243E" w:themeColor="text2" w:themeShade="80"/>
        </w:rPr>
        <w:t>. Ребёнок может мстить:</w:t>
      </w:r>
    </w:p>
    <w:p w:rsidR="008B141F" w:rsidRPr="006C2CF9" w:rsidRDefault="008B141F" w:rsidP="008B141F">
      <w:pPr>
        <w:numPr>
          <w:ilvl w:val="0"/>
          <w:numId w:val="1"/>
        </w:numPr>
        <w:spacing w:before="100" w:beforeAutospacing="1" w:after="100" w:afterAutospacing="1"/>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за сравнение не в его пользу со старшими или младшими братьями и сёстрами;</w:t>
      </w:r>
    </w:p>
    <w:p w:rsidR="008B141F" w:rsidRPr="006C2CF9" w:rsidRDefault="008B141F" w:rsidP="008B141F">
      <w:pPr>
        <w:numPr>
          <w:ilvl w:val="0"/>
          <w:numId w:val="1"/>
        </w:numPr>
        <w:spacing w:before="100" w:beforeAutospacing="1" w:after="100" w:afterAutospacing="1"/>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за унижение друг друга членами семьи;</w:t>
      </w:r>
    </w:p>
    <w:p w:rsidR="008B141F" w:rsidRPr="006C2CF9" w:rsidRDefault="008B141F" w:rsidP="008B141F">
      <w:pPr>
        <w:numPr>
          <w:ilvl w:val="0"/>
          <w:numId w:val="1"/>
        </w:numPr>
        <w:spacing w:before="100" w:beforeAutospacing="1" w:after="100" w:afterAutospacing="1"/>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за развод и появление в доме нового члена семьи;</w:t>
      </w:r>
    </w:p>
    <w:p w:rsidR="008B141F" w:rsidRPr="006C2CF9" w:rsidRDefault="008B141F" w:rsidP="008B141F">
      <w:pPr>
        <w:numPr>
          <w:ilvl w:val="0"/>
          <w:numId w:val="1"/>
        </w:numPr>
        <w:spacing w:before="100" w:beforeAutospacing="1" w:after="100" w:afterAutospacing="1"/>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за несправедливость и невыполненные обещания;</w:t>
      </w:r>
    </w:p>
    <w:p w:rsidR="008B141F" w:rsidRPr="006C2CF9" w:rsidRDefault="008B141F" w:rsidP="008B141F">
      <w:pPr>
        <w:numPr>
          <w:ilvl w:val="0"/>
          <w:numId w:val="1"/>
        </w:numPr>
        <w:spacing w:before="100" w:beforeAutospacing="1" w:after="100" w:afterAutospacing="1"/>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за чрезмерное проявление любви взрослых друг к другу.</w:t>
      </w:r>
    </w:p>
    <w:p w:rsidR="008B141F" w:rsidRPr="006C2CF9" w:rsidRDefault="008B141F" w:rsidP="008B141F">
      <w:pPr>
        <w:spacing w:before="100" w:beforeAutospacing="1" w:after="100" w:afterAutospacing="1"/>
        <w:jc w:val="both"/>
        <w:rPr>
          <w:rFonts w:ascii="Bookman Old Style" w:hAnsi="Bookman Old Style" w:cs="Arial"/>
          <w:color w:val="0F243E" w:themeColor="text2" w:themeShade="80"/>
        </w:rPr>
      </w:pPr>
      <w:r w:rsidRPr="006C2CF9">
        <w:rPr>
          <w:rFonts w:ascii="Bookman Old Style" w:hAnsi="Bookman Old Style" w:cs="Arial"/>
          <w:b/>
          <w:bCs/>
          <w:color w:val="0F243E" w:themeColor="text2" w:themeShade="80"/>
        </w:rPr>
        <w:t>Причина четвёртая - неверие в собственный успех</w:t>
      </w:r>
      <w:r w:rsidRPr="006C2CF9">
        <w:rPr>
          <w:rFonts w:ascii="Bookman Old Style" w:hAnsi="Bookman Old Style" w:cs="Arial"/>
          <w:color w:val="0F243E" w:themeColor="text2" w:themeShade="80"/>
        </w:rPr>
        <w:t>. Причинами неверия в собственный успех могут стать учебные неудачи, взаимоотношения в классе и с учителем, низкая самооценка.</w:t>
      </w:r>
    </w:p>
    <w:p w:rsidR="008B141F" w:rsidRPr="006C2CF9" w:rsidRDefault="008B141F" w:rsidP="006C2CF9">
      <w:pPr>
        <w:spacing w:before="100" w:beforeAutospacing="1" w:after="100" w:afterAutospacing="1"/>
        <w:ind w:firstLine="360"/>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В общении с подростками нужно избегать "саботажников" общения, такие как:</w:t>
      </w:r>
    </w:p>
    <w:p w:rsidR="008B141F" w:rsidRPr="006C2CF9" w:rsidRDefault="008B141F" w:rsidP="008B141F">
      <w:pPr>
        <w:numPr>
          <w:ilvl w:val="0"/>
          <w:numId w:val="2"/>
        </w:numPr>
        <w:spacing w:before="100" w:beforeAutospacing="1" w:after="100" w:afterAutospacing="1"/>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 xml:space="preserve">Предупреждение, предостережение, угроза. Примеры высказываний, "Делай, как сказано или: "Смотри, </w:t>
      </w:r>
      <w:proofErr w:type="gramStart"/>
      <w:r w:rsidRPr="006C2CF9">
        <w:rPr>
          <w:rFonts w:ascii="Bookman Old Style" w:hAnsi="Bookman Old Style" w:cs="Arial"/>
          <w:color w:val="0F243E" w:themeColor="text2" w:themeShade="80"/>
        </w:rPr>
        <w:t>как бы не стало</w:t>
      </w:r>
      <w:proofErr w:type="gramEnd"/>
      <w:r w:rsidRPr="006C2CF9">
        <w:rPr>
          <w:rFonts w:ascii="Bookman Old Style" w:hAnsi="Bookman Old Style" w:cs="Arial"/>
          <w:color w:val="0F243E" w:themeColor="text2" w:themeShade="80"/>
        </w:rPr>
        <w:t xml:space="preserve"> хуже".</w:t>
      </w:r>
    </w:p>
    <w:p w:rsidR="008B141F" w:rsidRPr="006C2CF9" w:rsidRDefault="008B141F" w:rsidP="008B141F">
      <w:pPr>
        <w:numPr>
          <w:ilvl w:val="0"/>
          <w:numId w:val="2"/>
        </w:numPr>
        <w:spacing w:before="100" w:beforeAutospacing="1" w:after="100" w:afterAutospacing="1"/>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Приказ, команда. Пр.: "Чтобы больше я этого не слышала!"</w:t>
      </w:r>
    </w:p>
    <w:p w:rsidR="008B141F" w:rsidRPr="006C2CF9" w:rsidRDefault="008B141F" w:rsidP="008B141F">
      <w:pPr>
        <w:numPr>
          <w:ilvl w:val="0"/>
          <w:numId w:val="2"/>
        </w:numPr>
        <w:spacing w:before="100" w:beforeAutospacing="1" w:after="100" w:afterAutospacing="1"/>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Критика, обвинение. Пр.: "На что это похоже?", "Всё из-за тебя!"</w:t>
      </w:r>
    </w:p>
    <w:p w:rsidR="008B141F" w:rsidRPr="006C2CF9" w:rsidRDefault="008B141F" w:rsidP="008B141F">
      <w:pPr>
        <w:numPr>
          <w:ilvl w:val="0"/>
          <w:numId w:val="2"/>
        </w:numPr>
        <w:spacing w:before="100" w:beforeAutospacing="1" w:after="100" w:afterAutospacing="1"/>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Обзывание, высмеивание, прозвища. Пр.: "Видали, первая красавица!"</w:t>
      </w:r>
    </w:p>
    <w:p w:rsidR="008B141F" w:rsidRPr="006C2CF9" w:rsidRDefault="008B141F" w:rsidP="008B141F">
      <w:pPr>
        <w:numPr>
          <w:ilvl w:val="0"/>
          <w:numId w:val="2"/>
        </w:numPr>
        <w:spacing w:before="100" w:beforeAutospacing="1" w:after="100" w:afterAutospacing="1"/>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Выспрашивание, допрос. Пр.: "Я всё равно узнаю, чем вы занимаетесь?"</w:t>
      </w:r>
    </w:p>
    <w:p w:rsidR="008B141F" w:rsidRPr="006C2CF9" w:rsidRDefault="008B141F" w:rsidP="008B141F">
      <w:pPr>
        <w:numPr>
          <w:ilvl w:val="0"/>
          <w:numId w:val="2"/>
        </w:numPr>
        <w:spacing w:before="100" w:beforeAutospacing="1" w:after="100" w:afterAutospacing="1"/>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Чтение морали, проповеди. Пр.: "Вспомни, сколько средств на тебя затрачено"</w:t>
      </w:r>
    </w:p>
    <w:p w:rsidR="008B141F" w:rsidRPr="006C2CF9" w:rsidRDefault="008B141F" w:rsidP="008B141F">
      <w:pPr>
        <w:spacing w:before="100" w:beforeAutospacing="1" w:after="100" w:afterAutospacing="1"/>
        <w:jc w:val="both"/>
        <w:rPr>
          <w:rFonts w:ascii="Bookman Old Style" w:hAnsi="Bookman Old Style" w:cs="Arial"/>
          <w:color w:val="0F243E" w:themeColor="text2" w:themeShade="80"/>
        </w:rPr>
      </w:pPr>
      <w:r w:rsidRPr="006C2CF9">
        <w:rPr>
          <w:rFonts w:ascii="Bookman Old Style" w:hAnsi="Bookman Old Style" w:cs="Arial"/>
          <w:color w:val="0F243E" w:themeColor="text2" w:themeShade="80"/>
        </w:rPr>
        <w:t>Вместо "</w:t>
      </w:r>
      <w:proofErr w:type="spellStart"/>
      <w:proofErr w:type="gramStart"/>
      <w:r w:rsidRPr="006C2CF9">
        <w:rPr>
          <w:rFonts w:ascii="Bookman Old Style" w:hAnsi="Bookman Old Style" w:cs="Arial"/>
          <w:color w:val="0F243E" w:themeColor="text2" w:themeShade="80"/>
        </w:rPr>
        <w:t>Ты-замечаний</w:t>
      </w:r>
      <w:proofErr w:type="spellEnd"/>
      <w:proofErr w:type="gramEnd"/>
      <w:r w:rsidRPr="006C2CF9">
        <w:rPr>
          <w:rFonts w:ascii="Bookman Old Style" w:hAnsi="Bookman Old Style" w:cs="Arial"/>
          <w:color w:val="0F243E" w:themeColor="text2" w:themeShade="80"/>
        </w:rPr>
        <w:t>" эффективнее использовать "</w:t>
      </w:r>
      <w:proofErr w:type="spellStart"/>
      <w:r w:rsidRPr="006C2CF9">
        <w:rPr>
          <w:rFonts w:ascii="Bookman Old Style" w:hAnsi="Bookman Old Style" w:cs="Arial"/>
          <w:color w:val="0F243E" w:themeColor="text2" w:themeShade="80"/>
        </w:rPr>
        <w:t>Я-замечания</w:t>
      </w:r>
      <w:proofErr w:type="spellEnd"/>
      <w:r w:rsidRPr="006C2CF9">
        <w:rPr>
          <w:rFonts w:ascii="Bookman Old Style" w:hAnsi="Bookman Old Style" w:cs="Arial"/>
          <w:color w:val="0F243E" w:themeColor="text2" w:themeShade="80"/>
        </w:rPr>
        <w:t>". Например, "Меня расстраивает то, что ты приходишь домой очень поздно". Как считает Т. Гордон, "</w:t>
      </w:r>
      <w:proofErr w:type="spellStart"/>
      <w:proofErr w:type="gramStart"/>
      <w:r w:rsidRPr="006C2CF9">
        <w:rPr>
          <w:rFonts w:ascii="Bookman Old Style" w:hAnsi="Bookman Old Style" w:cs="Arial"/>
          <w:color w:val="0F243E" w:themeColor="text2" w:themeShade="80"/>
        </w:rPr>
        <w:t>Я-замечание</w:t>
      </w:r>
      <w:proofErr w:type="spellEnd"/>
      <w:proofErr w:type="gramEnd"/>
      <w:r w:rsidRPr="006C2CF9">
        <w:rPr>
          <w:rFonts w:ascii="Bookman Old Style" w:hAnsi="Bookman Old Style" w:cs="Arial"/>
          <w:color w:val="0F243E" w:themeColor="text2" w:themeShade="80"/>
        </w:rPr>
        <w:t>" не причиняет обиды ребёнку, не вызывает у него реакции защиты, поскольку в нём - минимум отрицате</w:t>
      </w:r>
      <w:r w:rsidR="006C2CF9" w:rsidRPr="006C2CF9">
        <w:rPr>
          <w:rFonts w:ascii="Bookman Old Style" w:hAnsi="Bookman Old Style" w:cs="Arial"/>
          <w:color w:val="0F243E" w:themeColor="text2" w:themeShade="80"/>
        </w:rPr>
        <w:t>льной оценки</w:t>
      </w:r>
      <w:r w:rsidRPr="006C2CF9">
        <w:rPr>
          <w:rFonts w:ascii="Bookman Old Style" w:hAnsi="Bookman Old Style" w:cs="Arial"/>
          <w:color w:val="0F243E" w:themeColor="text2" w:themeShade="80"/>
        </w:rPr>
        <w:t>.</w:t>
      </w:r>
    </w:p>
    <w:p w:rsidR="008B141F" w:rsidRPr="006C2CF9" w:rsidRDefault="008B141F" w:rsidP="006C2CF9">
      <w:pPr>
        <w:spacing w:before="100" w:beforeAutospacing="1" w:after="100" w:afterAutospacing="1"/>
        <w:ind w:firstLine="708"/>
        <w:jc w:val="both"/>
        <w:rPr>
          <w:rFonts w:ascii="Bookman Old Style" w:hAnsi="Bookman Old Style" w:cs="Arial"/>
          <w:color w:val="0F243E" w:themeColor="text2" w:themeShade="80"/>
        </w:rPr>
      </w:pPr>
      <w:r w:rsidRPr="006C2CF9">
        <w:rPr>
          <w:rFonts w:ascii="Bookman Old Style" w:hAnsi="Bookman Old Style" w:cs="Arial"/>
          <w:b/>
          <w:i/>
          <w:color w:val="0F243E" w:themeColor="text2" w:themeShade="80"/>
        </w:rPr>
        <w:t>Трудности в общении испытывают дети, которым не хватает родительского внимания и тепла.</w:t>
      </w:r>
      <w:r w:rsidRPr="006C2CF9">
        <w:rPr>
          <w:rFonts w:ascii="Bookman Old Style" w:hAnsi="Bookman Old Style" w:cs="Arial"/>
          <w:color w:val="0F243E" w:themeColor="text2" w:themeShade="80"/>
        </w:rPr>
        <w:t xml:space="preserve"> Чаще всего социально-эмоциональные нарушения возникают вследствие длительного воздействия на ребёнка травмирующих ситуаций, нарушения межличностных отношений </w:t>
      </w:r>
      <w:proofErr w:type="gramStart"/>
      <w:r w:rsidRPr="006C2CF9">
        <w:rPr>
          <w:rFonts w:ascii="Bookman Old Style" w:hAnsi="Bookman Old Style" w:cs="Arial"/>
          <w:color w:val="0F243E" w:themeColor="text2" w:themeShade="80"/>
        </w:rPr>
        <w:t>со</w:t>
      </w:r>
      <w:proofErr w:type="gramEnd"/>
      <w:r w:rsidRPr="006C2CF9">
        <w:rPr>
          <w:rFonts w:ascii="Bookman Old Style" w:hAnsi="Bookman Old Style" w:cs="Arial"/>
          <w:color w:val="0F243E" w:themeColor="text2" w:themeShade="80"/>
        </w:rPr>
        <w:t xml:space="preserve"> взрослыми и сверстниками, что формирует у него чувство тревоги, ощущение отверженности.</w:t>
      </w:r>
    </w:p>
    <w:p w:rsidR="008B141F" w:rsidRPr="006C2CF9" w:rsidRDefault="008B141F" w:rsidP="006C2CF9">
      <w:pPr>
        <w:spacing w:before="100" w:beforeAutospacing="1" w:after="100" w:afterAutospacing="1"/>
        <w:ind w:firstLine="708"/>
        <w:jc w:val="both"/>
        <w:rPr>
          <w:rStyle w:val="a3"/>
          <w:rFonts w:ascii="Bookman Old Style" w:hAnsi="Bookman Old Style"/>
          <w:color w:val="0F243E" w:themeColor="text2" w:themeShade="80"/>
          <w:sz w:val="24"/>
          <w:szCs w:val="24"/>
        </w:rPr>
      </w:pPr>
      <w:r w:rsidRPr="006C2CF9">
        <w:rPr>
          <w:rFonts w:ascii="Bookman Old Style" w:hAnsi="Bookman Old Style" w:cs="Arial"/>
          <w:color w:val="0F243E" w:themeColor="text2" w:themeShade="80"/>
        </w:rPr>
        <w:t>Взрослым следует не забывать, что под влиянием опыта общения у ребёнка не только формируются критерии оценки себя и других, но и зарождаются очень важная способность - сочувствовать другим людям, переживать чужие горести и радости как собственные.</w:t>
      </w:r>
    </w:p>
    <w:p w:rsidR="008B141F" w:rsidRDefault="008B141F" w:rsidP="008B141F">
      <w:pPr>
        <w:jc w:val="both"/>
        <w:rPr>
          <w:rStyle w:val="a3"/>
          <w:rFonts w:ascii="Bookman Old Style" w:hAnsi="Bookman Old Style"/>
          <w:sz w:val="24"/>
          <w:szCs w:val="24"/>
        </w:rPr>
      </w:pPr>
    </w:p>
    <w:p w:rsidR="008B141F" w:rsidRDefault="008B141F" w:rsidP="008B141F">
      <w:pPr>
        <w:jc w:val="both"/>
        <w:rPr>
          <w:rStyle w:val="a3"/>
          <w:rFonts w:ascii="Bookman Old Style" w:hAnsi="Bookman Old Style"/>
          <w:sz w:val="24"/>
          <w:szCs w:val="24"/>
        </w:rPr>
      </w:pPr>
    </w:p>
    <w:sectPr w:rsidR="008B141F" w:rsidSect="001F225B">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61887"/>
    <w:multiLevelType w:val="multilevel"/>
    <w:tmpl w:val="53763E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959295A"/>
    <w:multiLevelType w:val="multilevel"/>
    <w:tmpl w:val="4C689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B141F"/>
    <w:rsid w:val="00116254"/>
    <w:rsid w:val="001F225B"/>
    <w:rsid w:val="006C2CF9"/>
    <w:rsid w:val="008B1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4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141F"/>
    <w:rPr>
      <w:rFonts w:ascii="Tahoma" w:hAnsi="Tahoma" w:cs="Tahoma" w:hint="default"/>
      <w:b/>
      <w:bCs/>
      <w:color w:val="615C19"/>
      <w:sz w:val="26"/>
      <w:szCs w:val="26"/>
    </w:rPr>
  </w:style>
  <w:style w:type="paragraph" w:styleId="a4">
    <w:name w:val="Normal (Web)"/>
    <w:basedOn w:val="a"/>
    <w:uiPriority w:val="99"/>
    <w:semiHidden/>
    <w:unhideWhenUsed/>
    <w:rsid w:val="008B141F"/>
    <w:pPr>
      <w:spacing w:before="100" w:beforeAutospacing="1" w:after="100" w:afterAutospacing="1"/>
      <w:jc w:val="both"/>
    </w:pPr>
    <w:rPr>
      <w:color w:val="615C19"/>
    </w:rPr>
  </w:style>
  <w:style w:type="paragraph" w:styleId="a5">
    <w:name w:val="Balloon Text"/>
    <w:basedOn w:val="a"/>
    <w:link w:val="a6"/>
    <w:uiPriority w:val="99"/>
    <w:semiHidden/>
    <w:unhideWhenUsed/>
    <w:rsid w:val="006C2CF9"/>
    <w:rPr>
      <w:rFonts w:ascii="Tahoma" w:hAnsi="Tahoma" w:cs="Tahoma"/>
      <w:sz w:val="16"/>
      <w:szCs w:val="16"/>
    </w:rPr>
  </w:style>
  <w:style w:type="character" w:customStyle="1" w:styleId="a6">
    <w:name w:val="Текст выноски Знак"/>
    <w:basedOn w:val="a0"/>
    <w:link w:val="a5"/>
    <w:uiPriority w:val="99"/>
    <w:semiHidden/>
    <w:rsid w:val="006C2CF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747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2012-12-15T13:06:00Z</dcterms:created>
  <dcterms:modified xsi:type="dcterms:W3CDTF">2012-12-15T13:32:00Z</dcterms:modified>
</cp:coreProperties>
</file>